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15" w:rsidRPr="00F7738A" w:rsidRDefault="00833515" w:rsidP="00833515">
      <w:pPr>
        <w:jc w:val="center"/>
        <w:rPr>
          <w:rFonts w:ascii="Comic Sans MS" w:eastAsiaTheme="minorHAnsi" w:hAnsi="Comic Sans MS" w:cs="Arial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="Arial"/>
          <w:noProof/>
          <w:sz w:val="28"/>
          <w:szCs w:val="28"/>
        </w:rPr>
        <w:drawing>
          <wp:inline distT="0" distB="0" distL="0" distR="0">
            <wp:extent cx="1162050" cy="110774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77" cy="113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15" w:rsidRPr="00F7738A" w:rsidRDefault="00833515" w:rsidP="00833515">
      <w:pPr>
        <w:ind w:firstLine="708"/>
        <w:jc w:val="center"/>
        <w:rPr>
          <w:rFonts w:ascii="Comic Sans MS" w:eastAsiaTheme="minorHAnsi" w:hAnsi="Comic Sans MS" w:cs="Arial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="Arial"/>
          <w:sz w:val="28"/>
          <w:szCs w:val="28"/>
          <w:lang w:eastAsia="en-US"/>
        </w:rPr>
        <w:t xml:space="preserve">Piano Regionale della Prevenzione </w:t>
      </w:r>
    </w:p>
    <w:p w:rsidR="00833515" w:rsidRPr="00F7738A" w:rsidRDefault="00833515" w:rsidP="00833515">
      <w:pPr>
        <w:rPr>
          <w:rFonts w:ascii="Comic Sans MS" w:eastAsiaTheme="minorHAnsi" w:hAnsi="Comic Sans MS" w:cs="Arial"/>
          <w:sz w:val="28"/>
          <w:szCs w:val="28"/>
          <w:lang w:eastAsia="en-US"/>
        </w:rPr>
      </w:pPr>
    </w:p>
    <w:p w:rsidR="00366D54" w:rsidRPr="00F7738A" w:rsidRDefault="00366D54" w:rsidP="00833515">
      <w:pPr>
        <w:rPr>
          <w:rFonts w:ascii="Comic Sans MS" w:eastAsiaTheme="minorHAnsi" w:hAnsi="Comic Sans MS" w:cs="Arial"/>
          <w:sz w:val="28"/>
          <w:szCs w:val="28"/>
          <w:lang w:eastAsia="en-US"/>
        </w:rPr>
      </w:pPr>
    </w:p>
    <w:p w:rsidR="00366D54" w:rsidRPr="00F7738A" w:rsidRDefault="00366D54" w:rsidP="00833515">
      <w:pPr>
        <w:rPr>
          <w:rFonts w:ascii="Comic Sans MS" w:eastAsiaTheme="minorHAnsi" w:hAnsi="Comic Sans MS" w:cs="Arial"/>
          <w:sz w:val="28"/>
          <w:szCs w:val="28"/>
          <w:lang w:eastAsia="en-US"/>
        </w:rPr>
      </w:pPr>
    </w:p>
    <w:p w:rsidR="00833515" w:rsidRPr="00F7738A" w:rsidRDefault="00B06179" w:rsidP="00B06179">
      <w:pPr>
        <w:jc w:val="center"/>
        <w:rPr>
          <w:rFonts w:ascii="Comic Sans MS" w:eastAsiaTheme="minorHAnsi" w:hAnsi="Comic Sans MS" w:cs="Arial"/>
          <w:b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="Arial"/>
          <w:b/>
          <w:sz w:val="28"/>
          <w:szCs w:val="28"/>
          <w:lang w:eastAsia="en-US"/>
        </w:rPr>
        <w:t>Opuscolo informativo per docenti e alunni</w:t>
      </w:r>
    </w:p>
    <w:p w:rsidR="00833515" w:rsidRPr="00F7738A" w:rsidRDefault="00833515" w:rsidP="00833515">
      <w:pPr>
        <w:rPr>
          <w:rFonts w:ascii="Comic Sans MS" w:eastAsiaTheme="minorHAnsi" w:hAnsi="Comic Sans MS" w:cs="Arial"/>
          <w:b/>
          <w:sz w:val="28"/>
          <w:szCs w:val="28"/>
          <w:lang w:eastAsia="en-US"/>
        </w:rPr>
      </w:pPr>
    </w:p>
    <w:p w:rsidR="00020CA0" w:rsidRPr="00F7738A" w:rsidRDefault="00833515" w:rsidP="00020CA0">
      <w:pPr>
        <w:jc w:val="both"/>
        <w:rPr>
          <w:rFonts w:ascii="Comic Sans MS" w:eastAsiaTheme="minorHAnsi" w:hAnsi="Comic Sans MS" w:cs="Arial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="Arial"/>
          <w:b/>
          <w:sz w:val="28"/>
          <w:szCs w:val="28"/>
          <w:lang w:eastAsia="en-US"/>
        </w:rPr>
        <w:t>Premessa:</w:t>
      </w:r>
      <w:r w:rsidRPr="00F7738A">
        <w:rPr>
          <w:rFonts w:ascii="Comic Sans MS" w:eastAsiaTheme="minorHAnsi" w:hAnsi="Comic Sans MS" w:cs="Arial"/>
          <w:sz w:val="28"/>
          <w:szCs w:val="28"/>
          <w:lang w:eastAsia="en-US"/>
        </w:rPr>
        <w:t xml:space="preserve"> </w:t>
      </w:r>
      <w:r w:rsidR="00020CA0" w:rsidRPr="00F7738A">
        <w:rPr>
          <w:rFonts w:ascii="Comic Sans MS" w:eastAsiaTheme="minorHAnsi" w:hAnsi="Comic Sans MS" w:cs="Arial"/>
          <w:sz w:val="28"/>
          <w:szCs w:val="28"/>
          <w:lang w:eastAsia="en-US"/>
        </w:rPr>
        <w:t xml:space="preserve">Il Piano Regionale della Prevenzione è un sistema di azioni di </w:t>
      </w:r>
    </w:p>
    <w:p w:rsidR="00833515" w:rsidRPr="00F7738A" w:rsidRDefault="00366D54" w:rsidP="00020CA0">
      <w:pPr>
        <w:ind w:left="708"/>
        <w:jc w:val="both"/>
        <w:rPr>
          <w:rFonts w:ascii="Comic Sans MS" w:eastAsiaTheme="minorHAnsi" w:hAnsi="Comic Sans MS" w:cs="Arial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="Arial"/>
          <w:sz w:val="28"/>
          <w:szCs w:val="28"/>
          <w:lang w:eastAsia="en-US"/>
        </w:rPr>
        <w:t>Promozione</w:t>
      </w:r>
      <w:r w:rsidR="00020CA0" w:rsidRPr="00F7738A">
        <w:rPr>
          <w:rFonts w:ascii="Comic Sans MS" w:eastAsiaTheme="minorHAnsi" w:hAnsi="Comic Sans MS" w:cs="Arial"/>
          <w:sz w:val="28"/>
          <w:szCs w:val="28"/>
          <w:lang w:eastAsia="en-US"/>
        </w:rPr>
        <w:t xml:space="preserve"> della salute e di prevenzione, che propone interventi che accompagnano il cittadino in tutte le fasi della vita, nei luoghi di vita e di lavoro</w:t>
      </w:r>
      <w:r w:rsidR="00F7738A">
        <w:rPr>
          <w:rFonts w:ascii="Comic Sans MS" w:eastAsiaTheme="minorHAnsi" w:hAnsi="Comic Sans MS" w:cs="Arial"/>
          <w:sz w:val="28"/>
          <w:szCs w:val="28"/>
          <w:lang w:eastAsia="en-US"/>
        </w:rPr>
        <w:t>,</w:t>
      </w:r>
      <w:r w:rsidR="00020CA0" w:rsidRPr="00F7738A">
        <w:rPr>
          <w:rFonts w:ascii="Comic Sans MS" w:eastAsiaTheme="minorHAnsi" w:hAnsi="Comic Sans MS" w:cs="Arial"/>
          <w:sz w:val="28"/>
          <w:szCs w:val="28"/>
          <w:lang w:eastAsia="en-US"/>
        </w:rPr>
        <w:t xml:space="preserve"> con la finalità di conseguire il più elevato livello di salute raggiungibile, ponendo le popolazioni e gli individui al centro delle azioni.</w:t>
      </w:r>
    </w:p>
    <w:p w:rsidR="001C77A1" w:rsidRPr="00F7738A" w:rsidRDefault="001C77A1" w:rsidP="00020CA0">
      <w:pPr>
        <w:ind w:left="708"/>
        <w:jc w:val="both"/>
        <w:rPr>
          <w:rFonts w:ascii="Comic Sans MS" w:eastAsiaTheme="minorHAnsi" w:hAnsi="Comic Sans MS" w:cs="Arial"/>
          <w:sz w:val="28"/>
          <w:szCs w:val="28"/>
          <w:lang w:eastAsia="en-US"/>
        </w:rPr>
      </w:pPr>
    </w:p>
    <w:p w:rsidR="00020CA0" w:rsidRPr="00F7738A" w:rsidRDefault="001C77A1" w:rsidP="00020CA0">
      <w:pPr>
        <w:ind w:left="708"/>
        <w:jc w:val="both"/>
        <w:rPr>
          <w:rFonts w:ascii="Comic Sans MS" w:hAnsi="Comic Sans MS"/>
          <w:sz w:val="28"/>
          <w:szCs w:val="28"/>
        </w:rPr>
      </w:pPr>
      <w:r w:rsidRPr="00F7738A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57825" cy="3352800"/>
            <wp:effectExtent l="0" t="0" r="9525" b="0"/>
            <wp:docPr id="3" name="Immagine 3" descr="Risultati immagini per immagini inquinamento indoor scu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i inquinamento indoor scu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A1" w:rsidRPr="00F7738A" w:rsidRDefault="001C77A1" w:rsidP="00020CA0">
      <w:pPr>
        <w:rPr>
          <w:rFonts w:ascii="Comic Sans MS" w:hAnsi="Comic Sans MS"/>
          <w:b/>
          <w:sz w:val="28"/>
          <w:szCs w:val="28"/>
        </w:rPr>
      </w:pPr>
    </w:p>
    <w:p w:rsidR="00020CA0" w:rsidRPr="00F7738A" w:rsidRDefault="00833515" w:rsidP="00020CA0">
      <w:pPr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hAnsi="Comic Sans MS"/>
          <w:b/>
          <w:sz w:val="28"/>
          <w:szCs w:val="28"/>
        </w:rPr>
        <w:lastRenderedPageBreak/>
        <w:t>Azione</w:t>
      </w:r>
      <w:r w:rsidR="00B9680B">
        <w:rPr>
          <w:rFonts w:ascii="Comic Sans MS" w:hAnsi="Comic Sans MS"/>
          <w:b/>
          <w:sz w:val="28"/>
          <w:szCs w:val="28"/>
        </w:rPr>
        <w:t xml:space="preserve"> </w:t>
      </w:r>
      <w:r w:rsidRPr="00F7738A">
        <w:rPr>
          <w:rFonts w:ascii="Comic Sans MS" w:hAnsi="Comic Sans MS"/>
          <w:b/>
          <w:sz w:val="28"/>
          <w:szCs w:val="28"/>
        </w:rPr>
        <w:t xml:space="preserve"> F.2 Ambiente: Inquinamento</w:t>
      </w:r>
      <w:r w:rsidR="00B9680B">
        <w:rPr>
          <w:rFonts w:ascii="Comic Sans MS" w:hAnsi="Comic Sans MS"/>
          <w:b/>
          <w:sz w:val="28"/>
          <w:szCs w:val="28"/>
        </w:rPr>
        <w:t xml:space="preserve"> </w:t>
      </w:r>
      <w:r w:rsidRPr="00F7738A">
        <w:rPr>
          <w:rFonts w:ascii="Comic Sans MS" w:hAnsi="Comic Sans MS"/>
          <w:b/>
          <w:sz w:val="28"/>
          <w:szCs w:val="28"/>
        </w:rPr>
        <w:t xml:space="preserve"> indoor</w:t>
      </w:r>
      <w:r w:rsidR="00020CA0" w:rsidRPr="00F7738A">
        <w:rPr>
          <w:rFonts w:ascii="Comic Sans MS" w:hAnsi="Comic Sans MS"/>
          <w:b/>
          <w:sz w:val="28"/>
          <w:szCs w:val="28"/>
        </w:rPr>
        <w:t>:</w:t>
      </w:r>
      <w:r w:rsidR="00020CA0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="00020CA0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Per 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="00020CA0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ambiente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="00020CA0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indoor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</w:p>
    <w:p w:rsidR="00366D54" w:rsidRPr="00F7738A" w:rsidRDefault="00020CA0" w:rsidP="00370215">
      <w:p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si intendono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,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gli ambienti confinati di vita e di lavoro non industriali, mentre 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s</w:t>
      </w:r>
      <w:r w:rsidRPr="00F7738A">
        <w:rPr>
          <w:rFonts w:ascii="Comic Sans MS" w:hAnsi="Comic Sans MS"/>
          <w:sz w:val="28"/>
          <w:szCs w:val="28"/>
        </w:rPr>
        <w:t>i definisce “inquinamento indoor” la presenza nell’aria di ambienti confinati di contaminanti fisici, chimici, e biologici</w:t>
      </w:r>
      <w:r w:rsidR="00F7738A">
        <w:rPr>
          <w:rFonts w:ascii="Comic Sans MS" w:hAnsi="Comic Sans MS"/>
          <w:sz w:val="28"/>
          <w:szCs w:val="28"/>
        </w:rPr>
        <w:t>,</w:t>
      </w:r>
      <w:r w:rsidRPr="00F7738A">
        <w:rPr>
          <w:rFonts w:ascii="Comic Sans MS" w:hAnsi="Comic Sans MS"/>
          <w:sz w:val="28"/>
          <w:szCs w:val="28"/>
        </w:rPr>
        <w:t xml:space="preserve"> non presenti naturalmente nell’aria esterna di sistemi ecologici di elevata qualità.</w:t>
      </w:r>
    </w:p>
    <w:p w:rsidR="00370215" w:rsidRPr="00F7738A" w:rsidRDefault="00366D54" w:rsidP="00366D54">
      <w:pPr>
        <w:ind w:left="708" w:firstLine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L’impatto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della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qualità dell’aria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interna, sulla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salute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,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ha assunto sempre più rilievo negli ultimi anni perché la maggior parte della popolazione dei Paesi industrializzati è impegnata sino al 90% del proprio tempo in attività indoor</w:t>
      </w:r>
      <w:r w:rsidR="000D7C39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, 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quali lo studio, lo svago, il lavoro</w:t>
      </w:r>
      <w:r w:rsidR="006C7B64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. Ambienti confinati 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sono le abitazioni, le aule scolastiche, </w:t>
      </w:r>
      <w:r w:rsidR="006C7B64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le 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palestre, </w:t>
      </w:r>
      <w:r w:rsidR="006C7B64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i 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ristoranti ecc.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, dove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il mancato ricambio di aria ne determina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viziatura, con</w:t>
      </w:r>
      <w:r w:rsidR="0037021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conseguenze sul benessere di chi occupa tali spazi.</w:t>
      </w:r>
    </w:p>
    <w:p w:rsidR="006C7B64" w:rsidRPr="00F7738A" w:rsidRDefault="006C7B64" w:rsidP="00366D54">
      <w:pPr>
        <w:ind w:left="708" w:firstLine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La qualità dell’aria 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indoor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è influenzata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,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in parte dai livelli esterni di inquinamento, mentre è condizionata</w:t>
      </w:r>
      <w:r w:rsidR="000D7C39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,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in misura maggiore</w:t>
      </w:r>
      <w:r w:rsidR="000D7C39">
        <w:rPr>
          <w:rFonts w:ascii="Comic Sans MS" w:eastAsiaTheme="minorHAnsi" w:hAnsi="Comic Sans MS" w:cstheme="minorBidi"/>
          <w:sz w:val="28"/>
          <w:szCs w:val="28"/>
          <w:lang w:eastAsia="en-US"/>
        </w:rPr>
        <w:t>,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da numerose sorgenti </w:t>
      </w:r>
      <w:r w:rsidR="00B9680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interne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, </w:t>
      </w:r>
      <w:r w:rsidR="00B9680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che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determinano concentrazioni di inquinanti spesso superiori a quelle presenti all’esterno.</w:t>
      </w:r>
    </w:p>
    <w:p w:rsidR="006C7B64" w:rsidRPr="00F7738A" w:rsidRDefault="000D7C39" w:rsidP="00366D54">
      <w:pPr>
        <w:ind w:left="708" w:firstLine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Inoltre, </w:t>
      </w:r>
      <w:r w:rsidR="006C7B64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le norme </w:t>
      </w:r>
      <w:r>
        <w:rPr>
          <w:rFonts w:ascii="Comic Sans MS" w:eastAsiaTheme="minorHAnsi" w:hAnsi="Comic Sans MS" w:cstheme="minorBidi"/>
          <w:sz w:val="28"/>
          <w:szCs w:val="28"/>
          <w:lang w:eastAsia="en-US"/>
        </w:rPr>
        <w:t>per il</w:t>
      </w:r>
      <w:r w:rsidR="006C7B64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risparmio </w:t>
      </w:r>
      <w:r w:rsidR="00B9680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energetico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, </w:t>
      </w:r>
      <w:r w:rsidR="00B9680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hanno</w:t>
      </w:r>
      <w:r w:rsidR="006C7B64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permesso la costruzione di ambienti sempre più sigillati, dove lo scarso ricambio d’aria e la ridotta aria di rinnovo introdotta, causano un aumento della concentrazione di contaminanti.</w:t>
      </w:r>
    </w:p>
    <w:p w:rsidR="00366D54" w:rsidRPr="00F7738A" w:rsidRDefault="006C7B64" w:rsidP="00366D54">
      <w:pPr>
        <w:ind w:left="708" w:firstLine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La qualità dell’aria indoor ha riflessi importanti sulla salute dell’uomo. Da numerose ricerche scientifiche si è visto che essa è causa di numerosi effetti indesiderati, che vanno dal disagio sensoriale, irritazione e secchezza delle mucose, alle patologie di tipo allergico o infettivo, fino a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conseguenze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ancora più gravi.</w:t>
      </w:r>
    </w:p>
    <w:p w:rsidR="00353615" w:rsidRPr="00F7738A" w:rsidRDefault="00353615" w:rsidP="00370215">
      <w:p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353615" w:rsidRPr="00F7738A" w:rsidRDefault="00353615" w:rsidP="00BB0AC3">
      <w:pPr>
        <w:jc w:val="both"/>
        <w:rPr>
          <w:rFonts w:ascii="Comic Sans MS" w:eastAsiaTheme="minorHAnsi" w:hAnsi="Comic Sans MS" w:cstheme="minorBidi"/>
          <w:b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b/>
          <w:noProof/>
          <w:sz w:val="28"/>
          <w:szCs w:val="28"/>
        </w:rPr>
        <w:lastRenderedPageBreak/>
        <w:drawing>
          <wp:inline distT="0" distB="0" distL="0" distR="0">
            <wp:extent cx="5850890" cy="3900593"/>
            <wp:effectExtent l="0" t="0" r="0" b="5080"/>
            <wp:docPr id="2" name="Immagine 2" descr="Risultati immagini per immagini inquinamento indoor scu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immagini inquinamento indoor scu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90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15" w:rsidRPr="00F7738A" w:rsidRDefault="00353615" w:rsidP="00BB0AC3">
      <w:pPr>
        <w:jc w:val="both"/>
        <w:rPr>
          <w:rFonts w:ascii="Comic Sans MS" w:eastAsiaTheme="minorHAnsi" w:hAnsi="Comic Sans MS" w:cstheme="minorBidi"/>
          <w:b/>
          <w:sz w:val="28"/>
          <w:szCs w:val="28"/>
          <w:lang w:eastAsia="en-US"/>
        </w:rPr>
      </w:pPr>
    </w:p>
    <w:p w:rsidR="00B9680B" w:rsidRDefault="006C7B64" w:rsidP="00B9680B">
      <w:p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b/>
          <w:sz w:val="28"/>
          <w:szCs w:val="28"/>
          <w:lang w:eastAsia="en-US"/>
        </w:rPr>
        <w:t xml:space="preserve">Inquinamento indoor nelle scuole: </w:t>
      </w:r>
      <w:r w:rsidR="00BB0AC3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Un ambiente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="00BB0AC3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scolastico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="00BB0AC3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>s</w:t>
      </w:r>
      <w:r w:rsidR="00B9680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ano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, </w:t>
      </w:r>
      <w:r w:rsidR="00B9680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è</w:t>
      </w:r>
      <w:r w:rsidR="00BB0AC3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 w:rsidR="00BB0AC3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un </w:t>
      </w:r>
    </w:p>
    <w:p w:rsidR="00BB0AC3" w:rsidRPr="00F7738A" w:rsidRDefault="00BB0AC3" w:rsidP="00B9680B">
      <w:p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prerequisito importante per garantire la salute dei ragazzi e le prestazioni di apprendimento. </w:t>
      </w:r>
    </w:p>
    <w:p w:rsidR="00BB0AC3" w:rsidRPr="00F7738A" w:rsidRDefault="00BB0AC3" w:rsidP="00B9680B">
      <w:pPr>
        <w:ind w:left="708" w:firstLine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Il carico inquinante in una scuola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,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dipende in larga misura dall’interazione tra edificio ed ambiente esterno, così come dal modo in cui è costruito, arredato ed utilizzato.</w:t>
      </w:r>
    </w:p>
    <w:p w:rsidR="007302AF" w:rsidRDefault="007302AF" w:rsidP="000D7C39">
      <w:pPr>
        <w:ind w:left="708" w:firstLine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La scuola quindi diventa oltre che oggetto di prevenzione, veicolo ed educazione sanitaria e ambientale per gli alunni e per le famiglie.</w:t>
      </w:r>
    </w:p>
    <w:p w:rsidR="00F7738A" w:rsidRPr="00F7738A" w:rsidRDefault="00F7738A" w:rsidP="00BB0AC3">
      <w:p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BB0AC3" w:rsidRDefault="00BB0AC3" w:rsidP="00BB0AC3">
      <w:p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Tra le varie sostanze che possono inquinare l’aria dell’aula scolastica la presente indagine riguarderà i composti organici volatili (COV).</w:t>
      </w:r>
    </w:p>
    <w:p w:rsidR="00F7738A" w:rsidRDefault="00F7738A" w:rsidP="00BB0AC3">
      <w:p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F7738A" w:rsidRPr="00F7738A" w:rsidRDefault="00F7738A" w:rsidP="00BB0AC3">
      <w:p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7302AF" w:rsidRPr="00F7738A" w:rsidRDefault="007302AF" w:rsidP="00F7738A">
      <w:p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b/>
          <w:sz w:val="28"/>
          <w:szCs w:val="28"/>
          <w:lang w:eastAsia="en-US"/>
        </w:rPr>
        <w:lastRenderedPageBreak/>
        <w:t>Cosa sono i COV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: 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I COV sono una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classe dei composti organici volatili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,  in cui sono compresi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diversi composti chimici</w:t>
      </w:r>
      <w:r w:rsid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,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formati da molecole dotate di gruppi funzionali diversi,  ma caratterizzati</w:t>
      </w:r>
      <w:r w:rsidR="004F5D05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da una certa volatilità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caratteristica, come ad esempio i comuni solventi organici, come i diluenti per vernici e le benzine.</w:t>
      </w:r>
    </w:p>
    <w:p w:rsidR="00B9680B" w:rsidRPr="00F7738A" w:rsidRDefault="004F5D05" w:rsidP="000D7C39">
      <w:pPr>
        <w:ind w:firstLine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Nelle aule scolastiche </w:t>
      </w:r>
      <w:r w:rsidR="00366D54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l’inquinamento</w:t>
      </w:r>
      <w:r w:rsidR="00657F2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da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COV </w:t>
      </w:r>
      <w:r w:rsidR="00657F2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può derivare da</w:t>
      </w:r>
      <w:r w:rsidR="000D7C39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diversi fattori</w:t>
      </w:r>
      <w:r w:rsidR="00B9680B">
        <w:rPr>
          <w:rFonts w:ascii="Comic Sans MS" w:eastAsiaTheme="minorHAnsi" w:hAnsi="Comic Sans MS" w:cstheme="minorBidi"/>
          <w:sz w:val="28"/>
          <w:szCs w:val="28"/>
          <w:lang w:eastAsia="en-US"/>
        </w:rPr>
        <w:t>:</w:t>
      </w:r>
    </w:p>
    <w:p w:rsidR="00B9680B" w:rsidRPr="00F7738A" w:rsidRDefault="00B9680B" w:rsidP="00B9680B">
      <w:pPr>
        <w:pStyle w:val="Paragrafoelenco"/>
        <w:numPr>
          <w:ilvl w:val="0"/>
          <w:numId w:val="1"/>
        </w:num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L’aria esterna</w:t>
      </w:r>
      <w:r w:rsidR="000D7C39">
        <w:rPr>
          <w:rFonts w:ascii="Comic Sans MS" w:eastAsiaTheme="minorHAnsi" w:hAnsi="Comic Sans MS" w:cstheme="minorBidi"/>
          <w:sz w:val="28"/>
          <w:szCs w:val="28"/>
          <w:lang w:eastAsia="en-US"/>
        </w:rPr>
        <w:t>,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  <w:r>
        <w:rPr>
          <w:rFonts w:ascii="Comic Sans MS" w:eastAsiaTheme="minorHAnsi" w:hAnsi="Comic Sans MS" w:cstheme="minorBidi"/>
          <w:sz w:val="28"/>
          <w:szCs w:val="28"/>
          <w:lang w:eastAsia="en-US"/>
        </w:rPr>
        <w:t>inquinata d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al traffico e dalle attività urbane ed industriali, che entra nell’edificio attraverso il sistema di ventilazione o per infiltrazione (tetto, porte, finestre)</w:t>
      </w:r>
      <w:r w:rsidR="000D7C39">
        <w:rPr>
          <w:rFonts w:ascii="Comic Sans MS" w:eastAsiaTheme="minorHAnsi" w:hAnsi="Comic Sans MS" w:cstheme="minorBidi"/>
          <w:sz w:val="28"/>
          <w:szCs w:val="28"/>
          <w:lang w:eastAsia="en-US"/>
        </w:rPr>
        <w:t>;</w:t>
      </w:r>
      <w:r w:rsidRPr="00F7738A">
        <w:rPr>
          <w:rFonts w:ascii="Comic Sans MS" w:hAnsi="Comic Sans MS"/>
          <w:sz w:val="28"/>
          <w:szCs w:val="28"/>
        </w:rPr>
        <w:t xml:space="preserve"> </w:t>
      </w:r>
    </w:p>
    <w:p w:rsidR="00B9680B" w:rsidRPr="00F7738A" w:rsidRDefault="00B9680B" w:rsidP="00B9680B">
      <w:pPr>
        <w:pStyle w:val="Paragrafoelenco"/>
        <w:numPr>
          <w:ilvl w:val="0"/>
          <w:numId w:val="1"/>
        </w:num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Gli arredi</w:t>
      </w:r>
      <w:r w:rsidR="000D7C39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costruiti con l’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uso di vernici, collanti</w:t>
      </w:r>
      <w:r w:rsidR="000D7C39">
        <w:rPr>
          <w:rFonts w:ascii="Comic Sans MS" w:eastAsiaTheme="minorHAnsi" w:hAnsi="Comic Sans MS" w:cstheme="minorBidi"/>
          <w:sz w:val="28"/>
          <w:szCs w:val="28"/>
          <w:lang w:eastAsia="en-US"/>
        </w:rPr>
        <w:t>;</w:t>
      </w:r>
    </w:p>
    <w:p w:rsidR="00B9680B" w:rsidRPr="00F7738A" w:rsidRDefault="00B9680B" w:rsidP="00B9680B">
      <w:pPr>
        <w:pStyle w:val="Paragrafoelenco"/>
        <w:numPr>
          <w:ilvl w:val="0"/>
          <w:numId w:val="1"/>
        </w:num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Gli impianti di riscalda</w:t>
      </w:r>
      <w:r w:rsidR="000D7C39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mento e di </w:t>
      </w:r>
      <w:bookmarkStart w:id="0" w:name="_GoBack"/>
      <w:bookmarkEnd w:id="0"/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condizionamento;</w:t>
      </w:r>
    </w:p>
    <w:p w:rsidR="00B9680B" w:rsidRPr="00F7738A" w:rsidRDefault="00B9680B" w:rsidP="00B9680B">
      <w:pPr>
        <w:pStyle w:val="Paragrafoelenco"/>
        <w:numPr>
          <w:ilvl w:val="0"/>
          <w:numId w:val="1"/>
        </w:num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I rivestimenti (pitture murali, rivestimenti, pavimenti ecc.);</w:t>
      </w:r>
    </w:p>
    <w:p w:rsidR="00B9680B" w:rsidRPr="00F7738A" w:rsidRDefault="00B9680B" w:rsidP="00B9680B">
      <w:pPr>
        <w:pStyle w:val="Paragrafoelenco"/>
        <w:numPr>
          <w:ilvl w:val="0"/>
          <w:numId w:val="1"/>
        </w:num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I prodotti per la manutenzione e la pulizia (detersivi, insetticidi, deodoranti ecc.);</w:t>
      </w:r>
    </w:p>
    <w:p w:rsidR="00B9680B" w:rsidRDefault="00B9680B" w:rsidP="00B9680B">
      <w:pPr>
        <w:pStyle w:val="Paragrafoelenco"/>
        <w:numPr>
          <w:ilvl w:val="0"/>
          <w:numId w:val="1"/>
        </w:num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Ventilazione inadeguata</w:t>
      </w:r>
    </w:p>
    <w:p w:rsidR="00B9680B" w:rsidRDefault="00B9680B" w:rsidP="00B9680B">
      <w:pPr>
        <w:pStyle w:val="Paragrafoelenco"/>
        <w:numPr>
          <w:ilvl w:val="0"/>
          <w:numId w:val="1"/>
        </w:num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B9680B">
        <w:rPr>
          <w:rFonts w:ascii="Comic Sans MS" w:eastAsiaTheme="minorHAnsi" w:hAnsi="Comic Sans MS" w:cstheme="minorBidi"/>
          <w:sz w:val="28"/>
          <w:szCs w:val="28"/>
          <w:lang w:eastAsia="en-US"/>
        </w:rPr>
        <w:t>Fumo di sigaretta</w:t>
      </w:r>
    </w:p>
    <w:p w:rsidR="004F5D05" w:rsidRDefault="00B9680B" w:rsidP="00B9680B">
      <w:pPr>
        <w:pStyle w:val="Paragrafoelenco"/>
        <w:numPr>
          <w:ilvl w:val="0"/>
          <w:numId w:val="1"/>
        </w:num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>
        <w:rPr>
          <w:rFonts w:ascii="Comic Sans MS" w:eastAsiaTheme="minorHAnsi" w:hAnsi="Comic Sans MS" w:cstheme="minorBidi"/>
          <w:sz w:val="28"/>
          <w:szCs w:val="28"/>
          <w:lang w:eastAsia="en-US"/>
        </w:rPr>
        <w:t>M</w:t>
      </w:r>
      <w:r w:rsidR="004F5D05" w:rsidRPr="00B9680B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ateriali utilizzati per attività didattiche ecc. </w:t>
      </w:r>
    </w:p>
    <w:p w:rsidR="00B9680B" w:rsidRPr="00B9680B" w:rsidRDefault="00B9680B" w:rsidP="00B9680B">
      <w:pPr>
        <w:pStyle w:val="Paragrafoelenco"/>
        <w:ind w:left="1776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657F2B" w:rsidRPr="00F7738A" w:rsidRDefault="00657F2B" w:rsidP="00353615">
      <w:pPr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b/>
          <w:sz w:val="28"/>
          <w:szCs w:val="28"/>
          <w:lang w:eastAsia="en-US"/>
        </w:rPr>
        <w:t>Cosa possiamo fare per i nostri alunni:</w:t>
      </w:r>
      <w:r w:rsidRPr="00F7738A">
        <w:rPr>
          <w:rFonts w:ascii="Comic Sans MS" w:hAnsi="Comic Sans MS"/>
          <w:sz w:val="28"/>
          <w:szCs w:val="28"/>
        </w:rPr>
        <w:t xml:space="preserve"> </w:t>
      </w:r>
    </w:p>
    <w:p w:rsidR="00657F2B" w:rsidRPr="00F7738A" w:rsidRDefault="00657F2B" w:rsidP="00657F2B">
      <w:p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A tal fine è importante: </w:t>
      </w:r>
    </w:p>
    <w:p w:rsidR="00B06179" w:rsidRPr="00F7738A" w:rsidRDefault="00657F2B" w:rsidP="00657F2B">
      <w:pPr>
        <w:pStyle w:val="Paragrafoelenco"/>
        <w:numPr>
          <w:ilvl w:val="0"/>
          <w:numId w:val="2"/>
        </w:num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Non consentire a nessuno di fumare negli ambienti scolastici,</w:t>
      </w:r>
    </w:p>
    <w:p w:rsidR="00B06179" w:rsidRPr="00F7738A" w:rsidRDefault="00657F2B" w:rsidP="00657F2B">
      <w:pPr>
        <w:pStyle w:val="Paragrafoelenco"/>
        <w:numPr>
          <w:ilvl w:val="0"/>
          <w:numId w:val="2"/>
        </w:num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Controllare tipo, procedure e frequenza delle attività di pulizia</w:t>
      </w:r>
      <w:r w:rsidR="00B06179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utilizzando ove possibile detergenti ecologici a basso impatto ambientale,</w:t>
      </w:r>
    </w:p>
    <w:p w:rsidR="00B06179" w:rsidRPr="00F7738A" w:rsidRDefault="00B06179" w:rsidP="00657F2B">
      <w:pPr>
        <w:pStyle w:val="Paragrafoelenco"/>
        <w:numPr>
          <w:ilvl w:val="0"/>
          <w:numId w:val="2"/>
        </w:num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Assicurarsi </w:t>
      </w:r>
      <w:r w:rsidR="00657F2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che le aule siano adeguatamente ventilate, 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anche d’inverno, </w:t>
      </w:r>
    </w:p>
    <w:p w:rsidR="00B06179" w:rsidRPr="00F7738A" w:rsidRDefault="00B06179" w:rsidP="00657F2B">
      <w:pPr>
        <w:pStyle w:val="Paragrafoelenco"/>
        <w:numPr>
          <w:ilvl w:val="0"/>
          <w:numId w:val="2"/>
        </w:numPr>
        <w:ind w:left="708"/>
        <w:jc w:val="both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Controllare periodicamente i </w:t>
      </w:r>
      <w:r w:rsidR="00657F2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sistem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>i</w:t>
      </w:r>
      <w:r w:rsidR="00657F2B"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di ventilazione meccanica</w:t>
      </w:r>
      <w:r w:rsidRPr="00F7738A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, </w:t>
      </w:r>
    </w:p>
    <w:p w:rsidR="00FE68E0" w:rsidRPr="00B9680B" w:rsidRDefault="00657F2B" w:rsidP="00B9680B">
      <w:pPr>
        <w:pStyle w:val="Paragrafoelenco"/>
        <w:numPr>
          <w:ilvl w:val="0"/>
          <w:numId w:val="2"/>
        </w:numPr>
        <w:ind w:left="708"/>
        <w:jc w:val="both"/>
        <w:rPr>
          <w:rFonts w:ascii="Comic Sans MS" w:hAnsi="Comic Sans MS"/>
          <w:sz w:val="28"/>
          <w:szCs w:val="28"/>
        </w:rPr>
      </w:pPr>
      <w:r w:rsidRPr="00B9680B">
        <w:rPr>
          <w:rFonts w:ascii="Comic Sans MS" w:eastAsiaTheme="minorHAnsi" w:hAnsi="Comic Sans MS" w:cstheme="minorBidi"/>
          <w:sz w:val="28"/>
          <w:szCs w:val="28"/>
          <w:lang w:eastAsia="en-US"/>
        </w:rPr>
        <w:t>Incoraggiare bambini e genitori a raggiungere la scuola a piedi.</w:t>
      </w:r>
    </w:p>
    <w:sectPr w:rsidR="00FE68E0" w:rsidRPr="00B9680B" w:rsidSect="00366D54">
      <w:footerReference w:type="default" r:id="rId10"/>
      <w:pgSz w:w="11906" w:h="16838"/>
      <w:pgMar w:top="1701" w:right="1558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6F" w:rsidRDefault="005A0F6F" w:rsidP="00366D54">
      <w:r>
        <w:separator/>
      </w:r>
    </w:p>
  </w:endnote>
  <w:endnote w:type="continuationSeparator" w:id="0">
    <w:p w:rsidR="005A0F6F" w:rsidRDefault="005A0F6F" w:rsidP="0036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752163"/>
      <w:docPartObj>
        <w:docPartGallery w:val="Page Numbers (Bottom of Page)"/>
        <w:docPartUnique/>
      </w:docPartObj>
    </w:sdtPr>
    <w:sdtContent>
      <w:p w:rsidR="00366D54" w:rsidRDefault="00366D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C39">
          <w:rPr>
            <w:noProof/>
          </w:rPr>
          <w:t>4</w:t>
        </w:r>
        <w:r>
          <w:fldChar w:fldCharType="end"/>
        </w:r>
      </w:p>
    </w:sdtContent>
  </w:sdt>
  <w:p w:rsidR="00366D54" w:rsidRDefault="00366D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6F" w:rsidRDefault="005A0F6F" w:rsidP="00366D54">
      <w:r>
        <w:separator/>
      </w:r>
    </w:p>
  </w:footnote>
  <w:footnote w:type="continuationSeparator" w:id="0">
    <w:p w:rsidR="005A0F6F" w:rsidRDefault="005A0F6F" w:rsidP="0036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00B8F"/>
    <w:multiLevelType w:val="hybridMultilevel"/>
    <w:tmpl w:val="259076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38A3D1F"/>
    <w:multiLevelType w:val="hybridMultilevel"/>
    <w:tmpl w:val="FBC2048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15"/>
    <w:rsid w:val="00020CA0"/>
    <w:rsid w:val="000D7C39"/>
    <w:rsid w:val="001C77A1"/>
    <w:rsid w:val="00353615"/>
    <w:rsid w:val="00366D54"/>
    <w:rsid w:val="00370215"/>
    <w:rsid w:val="004F5D05"/>
    <w:rsid w:val="005A0F6F"/>
    <w:rsid w:val="00657F2B"/>
    <w:rsid w:val="006C7B64"/>
    <w:rsid w:val="007302AF"/>
    <w:rsid w:val="00833515"/>
    <w:rsid w:val="00B06179"/>
    <w:rsid w:val="00B9680B"/>
    <w:rsid w:val="00BB0AC3"/>
    <w:rsid w:val="00C51A55"/>
    <w:rsid w:val="00CC341D"/>
    <w:rsid w:val="00CD5841"/>
    <w:rsid w:val="00F7738A"/>
    <w:rsid w:val="00FA6C44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A7ED9-1ED3-4A41-B5CF-B0B52DD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A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6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D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6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D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D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D5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La Gatta</dc:creator>
  <cp:keywords/>
  <dc:description/>
  <cp:lastModifiedBy>Alfonso La Gatta</cp:lastModifiedBy>
  <cp:revision>2</cp:revision>
  <cp:lastPrinted>2019-02-28T12:46:00Z</cp:lastPrinted>
  <dcterms:created xsi:type="dcterms:W3CDTF">2019-02-28T12:59:00Z</dcterms:created>
  <dcterms:modified xsi:type="dcterms:W3CDTF">2019-02-28T12:59:00Z</dcterms:modified>
</cp:coreProperties>
</file>